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B15032" w:rsidP="00C61679">
      <w:pPr>
        <w:spacing w:after="0"/>
        <w:jc w:val="center"/>
        <w:rPr>
          <w:rFonts w:ascii="Arial" w:eastAsia="PMingLiU" w:hAnsi="Arial" w:cs="Arial"/>
          <w:b/>
          <w:sz w:val="16"/>
          <w:szCs w:val="16"/>
        </w:rPr>
      </w:pPr>
      <w:r w:rsidRPr="009037A3">
        <w:rPr>
          <w:rFonts w:ascii="Arial" w:hAnsi="Arial" w:cs="Arial"/>
          <w:b/>
          <w:caps/>
          <w:sz w:val="16"/>
          <w:szCs w:val="16"/>
        </w:rPr>
        <w:t>СВЕТИЛЬНИКИ</w:t>
      </w:r>
      <w:r w:rsidR="00933DA9">
        <w:rPr>
          <w:rFonts w:ascii="Arial" w:hAnsi="Arial" w:cs="Arial"/>
          <w:b/>
          <w:caps/>
          <w:sz w:val="16"/>
          <w:szCs w:val="16"/>
        </w:rPr>
        <w:t xml:space="preserve"> светодиодный трековые</w:t>
      </w:r>
      <w:r w:rsidR="004A385E" w:rsidRPr="009037A3">
        <w:rPr>
          <w:rFonts w:ascii="Arial" w:hAnsi="Arial" w:cs="Arial"/>
          <w:b/>
          <w:caps/>
          <w:sz w:val="16"/>
          <w:szCs w:val="16"/>
        </w:rPr>
        <w:t xml:space="preserve"> ОБЩЕГО НАЗНАЧЕНИЯ</w:t>
      </w:r>
      <w:r w:rsidR="009037A3" w:rsidRPr="009037A3">
        <w:rPr>
          <w:rFonts w:ascii="Arial" w:hAnsi="Arial" w:cs="Arial"/>
          <w:b/>
          <w:caps/>
          <w:sz w:val="16"/>
          <w:szCs w:val="16"/>
        </w:rPr>
        <w:t>,</w:t>
      </w:r>
      <w:r w:rsidRPr="009037A3">
        <w:rPr>
          <w:rFonts w:ascii="Arial" w:hAnsi="Arial" w:cs="Arial"/>
          <w:b/>
          <w:caps/>
          <w:sz w:val="16"/>
          <w:szCs w:val="16"/>
        </w:rPr>
        <w:t xml:space="preserve"> </w:t>
      </w:r>
      <w:r w:rsidR="005765D1" w:rsidRPr="009037A3">
        <w:rPr>
          <w:rFonts w:ascii="Arial" w:hAnsi="Arial" w:cs="Arial"/>
          <w:b/>
          <w:caps/>
          <w:sz w:val="16"/>
          <w:szCs w:val="16"/>
        </w:rPr>
        <w:t>ТМ «</w:t>
      </w:r>
      <w:r w:rsidR="005765D1" w:rsidRPr="009037A3">
        <w:rPr>
          <w:rFonts w:ascii="Arial" w:hAnsi="Arial" w:cs="Arial"/>
          <w:b/>
          <w:caps/>
          <w:sz w:val="16"/>
          <w:szCs w:val="16"/>
          <w:lang w:val="en-US"/>
        </w:rPr>
        <w:t>FERON</w:t>
      </w:r>
      <w:r w:rsidR="005765D1" w:rsidRPr="009037A3">
        <w:rPr>
          <w:rFonts w:ascii="Arial" w:hAnsi="Arial" w:cs="Arial"/>
          <w:b/>
          <w:caps/>
          <w:sz w:val="16"/>
          <w:szCs w:val="16"/>
        </w:rPr>
        <w:t>»</w:t>
      </w:r>
      <w:r w:rsidR="009037A3" w:rsidRPr="009037A3">
        <w:rPr>
          <w:rFonts w:ascii="Arial" w:hAnsi="Arial" w:cs="Arial"/>
          <w:b/>
          <w:caps/>
          <w:sz w:val="16"/>
          <w:szCs w:val="16"/>
        </w:rPr>
        <w:t>,</w:t>
      </w:r>
      <w:r w:rsidR="001C4846" w:rsidRPr="009037A3">
        <w:rPr>
          <w:rFonts w:ascii="Arial" w:hAnsi="Arial" w:cs="Arial"/>
          <w:b/>
          <w:caps/>
          <w:sz w:val="16"/>
          <w:szCs w:val="16"/>
        </w:rPr>
        <w:t xml:space="preserve"> СЕРИИ</w:t>
      </w:r>
      <w:r w:rsidR="005765D1" w:rsidRPr="009037A3">
        <w:rPr>
          <w:rFonts w:ascii="Arial" w:hAnsi="Arial" w:cs="Arial"/>
          <w:b/>
          <w:caps/>
          <w:sz w:val="16"/>
          <w:szCs w:val="16"/>
        </w:rPr>
        <w:t xml:space="preserve"> </w:t>
      </w:r>
      <w:r w:rsidR="00C61679" w:rsidRPr="009037A3">
        <w:rPr>
          <w:rFonts w:ascii="Arial" w:eastAsia="PMingLiU" w:hAnsi="Arial" w:cs="Arial"/>
          <w:b/>
          <w:sz w:val="16"/>
          <w:szCs w:val="16"/>
          <w:lang w:val="en-US"/>
        </w:rPr>
        <w:t>AL</w:t>
      </w:r>
    </w:p>
    <w:p w:rsidR="00C631FD" w:rsidRPr="007C629A" w:rsidRDefault="00C631FD" w:rsidP="00C61679">
      <w:pPr>
        <w:spacing w:after="0"/>
        <w:jc w:val="center"/>
        <w:rPr>
          <w:rFonts w:ascii="Arial" w:eastAsia="PMingLiU" w:hAnsi="Arial" w:cs="Arial"/>
          <w:b/>
          <w:caps/>
          <w:sz w:val="16"/>
          <w:szCs w:val="16"/>
        </w:rPr>
      </w:pPr>
      <w:r w:rsidRPr="00C631FD">
        <w:rPr>
          <w:rFonts w:ascii="Arial" w:eastAsia="PMingLiU" w:hAnsi="Arial" w:cs="Arial"/>
          <w:b/>
          <w:caps/>
          <w:sz w:val="16"/>
          <w:szCs w:val="16"/>
        </w:rPr>
        <w:t>Модели</w:t>
      </w:r>
      <w:r w:rsidRPr="00A633E8">
        <w:rPr>
          <w:rFonts w:ascii="Arial" w:eastAsia="PMingLiU" w:hAnsi="Arial" w:cs="Arial"/>
          <w:b/>
          <w:caps/>
          <w:sz w:val="16"/>
          <w:szCs w:val="16"/>
        </w:rPr>
        <w:t xml:space="preserve">: </w:t>
      </w:r>
      <w:r w:rsidR="004D554B">
        <w:rPr>
          <w:rFonts w:ascii="Arial" w:eastAsia="PMingLiU" w:hAnsi="Arial" w:cs="Arial"/>
          <w:b/>
          <w:caps/>
          <w:sz w:val="16"/>
          <w:szCs w:val="16"/>
          <w:lang w:val="en-US"/>
        </w:rPr>
        <w:t>AL</w:t>
      </w:r>
      <w:r w:rsidR="00467D0C">
        <w:rPr>
          <w:rFonts w:ascii="Arial" w:eastAsia="PMingLiU" w:hAnsi="Arial" w:cs="Arial"/>
          <w:b/>
          <w:caps/>
          <w:sz w:val="16"/>
          <w:szCs w:val="16"/>
        </w:rPr>
        <w:t>129</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633E8" w:rsidRPr="009037A3" w:rsidRDefault="00A633E8" w:rsidP="00C61679">
      <w:pPr>
        <w:pStyle w:val="a3"/>
        <w:numPr>
          <w:ilvl w:val="0"/>
          <w:numId w:val="2"/>
        </w:numPr>
        <w:spacing w:after="0"/>
        <w:jc w:val="both"/>
        <w:rPr>
          <w:rFonts w:ascii="Arial" w:hAnsi="Arial" w:cs="Arial"/>
          <w:sz w:val="16"/>
          <w:szCs w:val="16"/>
        </w:rPr>
      </w:pPr>
      <w:r>
        <w:rPr>
          <w:rFonts w:ascii="Arial" w:hAnsi="Arial" w:cs="Arial"/>
          <w:sz w:val="16"/>
          <w:szCs w:val="16"/>
        </w:rPr>
        <w:t>Светильник состоит из двух частей: съемного адаптера и корпуса с патроном.</w:t>
      </w:r>
    </w:p>
    <w:p w:rsidR="00AE36B8" w:rsidRPr="009037A3" w:rsidRDefault="001C549F" w:rsidP="00C61679">
      <w:pPr>
        <w:pStyle w:val="a3"/>
        <w:numPr>
          <w:ilvl w:val="0"/>
          <w:numId w:val="2"/>
        </w:numPr>
        <w:spacing w:after="0"/>
        <w:jc w:val="both"/>
        <w:rPr>
          <w:rFonts w:ascii="Arial" w:hAnsi="Arial" w:cs="Arial"/>
          <w:sz w:val="16"/>
          <w:szCs w:val="16"/>
        </w:rPr>
      </w:pPr>
      <w:r w:rsidRPr="000D73DC">
        <w:rPr>
          <w:rFonts w:ascii="Arial" w:hAnsi="Arial" w:cs="Arial"/>
          <w:sz w:val="16"/>
          <w:szCs w:val="16"/>
        </w:rPr>
        <w:t>Светильники монтируются на однофазный</w:t>
      </w:r>
      <w:r>
        <w:rPr>
          <w:rFonts w:ascii="Arial" w:hAnsi="Arial" w:cs="Arial"/>
          <w:sz w:val="16"/>
          <w:szCs w:val="16"/>
        </w:rPr>
        <w:t xml:space="preserve"> </w:t>
      </w:r>
      <w:proofErr w:type="spellStart"/>
      <w:r w:rsidRPr="000D73DC">
        <w:rPr>
          <w:rFonts w:ascii="Arial" w:hAnsi="Arial" w:cs="Arial"/>
          <w:sz w:val="16"/>
          <w:szCs w:val="16"/>
        </w:rPr>
        <w:t>шинопровод</w:t>
      </w:r>
      <w:proofErr w:type="spellEnd"/>
      <w:r w:rsidR="00687DE8" w:rsidRPr="009037A3">
        <w:rPr>
          <w:rFonts w:ascii="Arial" w:hAnsi="Arial" w:cs="Arial"/>
          <w:sz w:val="16"/>
          <w:szCs w:val="16"/>
        </w:rPr>
        <w:t>.</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2972"/>
        <w:gridCol w:w="3742"/>
        <w:gridCol w:w="3742"/>
      </w:tblGrid>
      <w:tr w:rsidR="001C549F" w:rsidRPr="009037A3" w:rsidTr="00CB78B8">
        <w:trPr>
          <w:jc w:val="center"/>
        </w:trPr>
        <w:tc>
          <w:tcPr>
            <w:tcW w:w="2972" w:type="dxa"/>
            <w:vAlign w:val="center"/>
          </w:tcPr>
          <w:p w:rsidR="001C549F" w:rsidRPr="009037A3" w:rsidRDefault="001C549F" w:rsidP="004D554B">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7484" w:type="dxa"/>
            <w:gridSpan w:val="2"/>
            <w:vAlign w:val="center"/>
          </w:tcPr>
          <w:p w:rsidR="001C549F" w:rsidRPr="001C549F" w:rsidRDefault="001C549F" w:rsidP="004D554B">
            <w:pPr>
              <w:jc w:val="center"/>
              <w:rPr>
                <w:rFonts w:ascii="Arial" w:hAnsi="Arial" w:cs="Arial"/>
                <w:sz w:val="16"/>
                <w:szCs w:val="16"/>
              </w:rPr>
            </w:pPr>
            <w:r>
              <w:rPr>
                <w:rFonts w:ascii="Arial" w:hAnsi="Arial" w:cs="Arial"/>
                <w:sz w:val="16"/>
                <w:szCs w:val="16"/>
                <w:lang w:val="en-US"/>
              </w:rPr>
              <w:t>AL1</w:t>
            </w:r>
            <w:r>
              <w:rPr>
                <w:rFonts w:ascii="Arial" w:hAnsi="Arial" w:cs="Arial"/>
                <w:sz w:val="16"/>
                <w:szCs w:val="16"/>
              </w:rPr>
              <w:t>29</w:t>
            </w:r>
          </w:p>
        </w:tc>
      </w:tr>
      <w:tr w:rsidR="001C549F" w:rsidRPr="009037A3" w:rsidTr="00CB78B8">
        <w:trPr>
          <w:jc w:val="center"/>
        </w:trPr>
        <w:tc>
          <w:tcPr>
            <w:tcW w:w="2972" w:type="dxa"/>
            <w:vAlign w:val="center"/>
          </w:tcPr>
          <w:p w:rsidR="001C549F" w:rsidRDefault="001C549F" w:rsidP="004D554B">
            <w:pPr>
              <w:rPr>
                <w:rFonts w:ascii="Arial" w:hAnsi="Arial" w:cs="Arial"/>
                <w:sz w:val="16"/>
                <w:szCs w:val="16"/>
              </w:rPr>
            </w:pPr>
            <w:r>
              <w:rPr>
                <w:rFonts w:ascii="Arial" w:hAnsi="Arial" w:cs="Arial"/>
                <w:sz w:val="16"/>
                <w:szCs w:val="16"/>
              </w:rPr>
              <w:t>Потребляемая мощность</w:t>
            </w:r>
          </w:p>
        </w:tc>
        <w:tc>
          <w:tcPr>
            <w:tcW w:w="3742" w:type="dxa"/>
            <w:vAlign w:val="center"/>
          </w:tcPr>
          <w:p w:rsidR="001C549F" w:rsidRPr="001C549F" w:rsidRDefault="001C549F" w:rsidP="004D554B">
            <w:pPr>
              <w:jc w:val="center"/>
              <w:rPr>
                <w:rFonts w:ascii="Arial" w:hAnsi="Arial" w:cs="Arial"/>
                <w:sz w:val="16"/>
                <w:szCs w:val="16"/>
              </w:rPr>
            </w:pPr>
            <w:r>
              <w:rPr>
                <w:rFonts w:ascii="Arial" w:hAnsi="Arial" w:cs="Arial"/>
                <w:sz w:val="16"/>
                <w:szCs w:val="16"/>
              </w:rPr>
              <w:t>1</w:t>
            </w:r>
            <w:r w:rsidR="00D3502D">
              <w:rPr>
                <w:rFonts w:ascii="Arial" w:hAnsi="Arial" w:cs="Arial"/>
                <w:sz w:val="16"/>
                <w:szCs w:val="16"/>
                <w:lang w:val="en-US"/>
              </w:rPr>
              <w:t>2</w:t>
            </w:r>
            <w:bookmarkStart w:id="0" w:name="_GoBack"/>
            <w:bookmarkEnd w:id="0"/>
            <w:r>
              <w:rPr>
                <w:rFonts w:ascii="Arial" w:hAnsi="Arial" w:cs="Arial"/>
                <w:sz w:val="16"/>
                <w:szCs w:val="16"/>
              </w:rPr>
              <w:t>Вт</w:t>
            </w:r>
          </w:p>
        </w:tc>
        <w:tc>
          <w:tcPr>
            <w:tcW w:w="3742" w:type="dxa"/>
            <w:vAlign w:val="center"/>
          </w:tcPr>
          <w:p w:rsidR="001C549F" w:rsidRPr="001C549F" w:rsidRDefault="001C549F" w:rsidP="004D554B">
            <w:pPr>
              <w:jc w:val="center"/>
              <w:rPr>
                <w:rFonts w:ascii="Arial" w:hAnsi="Arial" w:cs="Arial"/>
                <w:sz w:val="16"/>
                <w:szCs w:val="16"/>
              </w:rPr>
            </w:pPr>
            <w:r>
              <w:rPr>
                <w:rFonts w:ascii="Arial" w:hAnsi="Arial" w:cs="Arial"/>
                <w:sz w:val="16"/>
                <w:szCs w:val="16"/>
              </w:rPr>
              <w:t>18Вт</w:t>
            </w:r>
          </w:p>
        </w:tc>
      </w:tr>
      <w:tr w:rsidR="001C549F" w:rsidRPr="009037A3" w:rsidTr="00CB78B8">
        <w:trPr>
          <w:jc w:val="center"/>
        </w:trPr>
        <w:tc>
          <w:tcPr>
            <w:tcW w:w="2972" w:type="dxa"/>
            <w:vAlign w:val="center"/>
          </w:tcPr>
          <w:p w:rsidR="001C549F" w:rsidRPr="000D73DC" w:rsidRDefault="001C549F" w:rsidP="001C549F">
            <w:pPr>
              <w:rPr>
                <w:rFonts w:ascii="Arial" w:hAnsi="Arial" w:cs="Arial"/>
                <w:sz w:val="16"/>
                <w:szCs w:val="16"/>
              </w:rPr>
            </w:pPr>
            <w:r w:rsidRPr="000D73DC">
              <w:rPr>
                <w:rFonts w:ascii="Arial" w:hAnsi="Arial" w:cs="Arial"/>
                <w:sz w:val="16"/>
                <w:szCs w:val="16"/>
              </w:rPr>
              <w:t>Номинальный световой поток</w:t>
            </w:r>
          </w:p>
        </w:tc>
        <w:tc>
          <w:tcPr>
            <w:tcW w:w="3742" w:type="dxa"/>
            <w:vAlign w:val="center"/>
          </w:tcPr>
          <w:p w:rsidR="001C549F" w:rsidRDefault="001C549F" w:rsidP="001C549F">
            <w:pPr>
              <w:jc w:val="center"/>
              <w:rPr>
                <w:rFonts w:ascii="Arial" w:hAnsi="Arial" w:cs="Arial"/>
                <w:sz w:val="16"/>
                <w:szCs w:val="16"/>
              </w:rPr>
            </w:pPr>
            <w:r>
              <w:rPr>
                <w:rFonts w:ascii="Arial" w:hAnsi="Arial" w:cs="Arial"/>
                <w:sz w:val="16"/>
                <w:szCs w:val="16"/>
              </w:rPr>
              <w:t>960лм</w:t>
            </w:r>
          </w:p>
        </w:tc>
        <w:tc>
          <w:tcPr>
            <w:tcW w:w="3742" w:type="dxa"/>
            <w:vAlign w:val="center"/>
          </w:tcPr>
          <w:p w:rsidR="001C549F" w:rsidRDefault="001C549F" w:rsidP="001C549F">
            <w:pPr>
              <w:jc w:val="center"/>
              <w:rPr>
                <w:rFonts w:ascii="Arial" w:hAnsi="Arial" w:cs="Arial"/>
                <w:sz w:val="16"/>
                <w:szCs w:val="16"/>
              </w:rPr>
            </w:pPr>
            <w:r>
              <w:rPr>
                <w:rFonts w:ascii="Arial" w:hAnsi="Arial" w:cs="Arial"/>
                <w:sz w:val="16"/>
                <w:szCs w:val="16"/>
              </w:rPr>
              <w:t>1440лм</w:t>
            </w:r>
          </w:p>
        </w:tc>
      </w:tr>
      <w:tr w:rsidR="001C549F" w:rsidRPr="009037A3" w:rsidTr="00CB78B8">
        <w:trPr>
          <w:jc w:val="center"/>
        </w:trPr>
        <w:tc>
          <w:tcPr>
            <w:tcW w:w="2972" w:type="dxa"/>
            <w:vAlign w:val="center"/>
          </w:tcPr>
          <w:p w:rsidR="001C549F" w:rsidRPr="008E7D9A" w:rsidRDefault="001C549F" w:rsidP="001C549F">
            <w:pPr>
              <w:rPr>
                <w:rFonts w:ascii="Arial" w:hAnsi="Arial" w:cs="Arial"/>
                <w:sz w:val="16"/>
                <w:szCs w:val="16"/>
              </w:rPr>
            </w:pPr>
            <w:r>
              <w:rPr>
                <w:rFonts w:ascii="Arial" w:hAnsi="Arial" w:cs="Arial"/>
                <w:sz w:val="16"/>
                <w:szCs w:val="16"/>
              </w:rPr>
              <w:t>Тип светильника</w:t>
            </w:r>
          </w:p>
        </w:tc>
        <w:tc>
          <w:tcPr>
            <w:tcW w:w="7484" w:type="dxa"/>
            <w:gridSpan w:val="2"/>
            <w:vAlign w:val="center"/>
          </w:tcPr>
          <w:p w:rsidR="001C549F" w:rsidRDefault="001C549F" w:rsidP="001C549F">
            <w:pPr>
              <w:jc w:val="center"/>
              <w:rPr>
                <w:rFonts w:ascii="Arial" w:hAnsi="Arial" w:cs="Arial"/>
                <w:sz w:val="16"/>
                <w:szCs w:val="16"/>
              </w:rPr>
            </w:pPr>
            <w:r>
              <w:rPr>
                <w:rFonts w:ascii="Arial" w:hAnsi="Arial" w:cs="Arial"/>
                <w:sz w:val="16"/>
                <w:szCs w:val="16"/>
              </w:rPr>
              <w:t>Неповоротный</w:t>
            </w:r>
          </w:p>
        </w:tc>
      </w:tr>
      <w:tr w:rsidR="001C549F" w:rsidRPr="009037A3" w:rsidTr="00CB78B8">
        <w:trPr>
          <w:jc w:val="center"/>
        </w:trPr>
        <w:tc>
          <w:tcPr>
            <w:tcW w:w="2972" w:type="dxa"/>
            <w:vAlign w:val="center"/>
          </w:tcPr>
          <w:p w:rsidR="001C549F" w:rsidRPr="000D73DC" w:rsidRDefault="001C549F" w:rsidP="001C549F">
            <w:pPr>
              <w:rPr>
                <w:rFonts w:ascii="Arial" w:hAnsi="Arial" w:cs="Arial"/>
                <w:sz w:val="16"/>
                <w:szCs w:val="16"/>
              </w:rPr>
            </w:pPr>
            <w:r w:rsidRPr="000D73DC">
              <w:rPr>
                <w:rFonts w:ascii="Arial" w:hAnsi="Arial" w:cs="Arial"/>
                <w:sz w:val="16"/>
                <w:szCs w:val="16"/>
              </w:rPr>
              <w:t>Тип подключения к сети</w:t>
            </w:r>
          </w:p>
        </w:tc>
        <w:tc>
          <w:tcPr>
            <w:tcW w:w="7484" w:type="dxa"/>
            <w:gridSpan w:val="2"/>
            <w:vAlign w:val="center"/>
          </w:tcPr>
          <w:p w:rsidR="001C549F" w:rsidRPr="000D73DC" w:rsidRDefault="001C549F" w:rsidP="001C549F">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1C549F" w:rsidRPr="009037A3" w:rsidTr="00CB78B8">
        <w:trPr>
          <w:jc w:val="center"/>
        </w:trPr>
        <w:tc>
          <w:tcPr>
            <w:tcW w:w="2972" w:type="dxa"/>
            <w:vAlign w:val="center"/>
          </w:tcPr>
          <w:p w:rsidR="001C549F" w:rsidRPr="005F788A" w:rsidRDefault="001C549F" w:rsidP="001C549F">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7484" w:type="dxa"/>
            <w:gridSpan w:val="2"/>
            <w:vAlign w:val="center"/>
          </w:tcPr>
          <w:p w:rsidR="001C549F" w:rsidRPr="009037A3" w:rsidRDefault="001C549F" w:rsidP="001C549F">
            <w:pPr>
              <w:jc w:val="center"/>
              <w:rPr>
                <w:rFonts w:ascii="Arial" w:hAnsi="Arial" w:cs="Arial"/>
                <w:sz w:val="16"/>
                <w:szCs w:val="16"/>
                <w:lang w:val="en-US"/>
              </w:rPr>
            </w:pPr>
            <w:r>
              <w:rPr>
                <w:rFonts w:ascii="Arial" w:hAnsi="Arial" w:cs="Arial"/>
                <w:sz w:val="16"/>
                <w:szCs w:val="16"/>
              </w:rPr>
              <w:t>170-265</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1C549F" w:rsidRPr="009037A3" w:rsidTr="00CB78B8">
        <w:trPr>
          <w:jc w:val="center"/>
        </w:trPr>
        <w:tc>
          <w:tcPr>
            <w:tcW w:w="2972" w:type="dxa"/>
            <w:vAlign w:val="center"/>
          </w:tcPr>
          <w:p w:rsidR="001C549F" w:rsidRDefault="001C549F" w:rsidP="001C549F">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7484" w:type="dxa"/>
            <w:gridSpan w:val="2"/>
            <w:vAlign w:val="center"/>
          </w:tcPr>
          <w:p w:rsidR="001C549F" w:rsidRPr="001C549F" w:rsidRDefault="001C549F" w:rsidP="001C549F">
            <w:pPr>
              <w:jc w:val="center"/>
              <w:rPr>
                <w:rFonts w:ascii="Arial" w:hAnsi="Arial" w:cs="Arial"/>
                <w:sz w:val="16"/>
                <w:szCs w:val="16"/>
              </w:rPr>
            </w:pPr>
            <w:r>
              <w:rPr>
                <w:rFonts w:ascii="Arial" w:hAnsi="Arial" w:cs="Arial"/>
                <w:sz w:val="16"/>
                <w:szCs w:val="16"/>
              </w:rPr>
              <w:t>4000</w:t>
            </w:r>
            <w:r>
              <w:rPr>
                <w:rFonts w:ascii="Arial" w:hAnsi="Arial" w:cs="Arial"/>
                <w:sz w:val="16"/>
                <w:szCs w:val="16"/>
                <w:lang w:val="en-US"/>
              </w:rPr>
              <w:t>K</w:t>
            </w:r>
          </w:p>
        </w:tc>
      </w:tr>
      <w:tr w:rsidR="001C549F" w:rsidRPr="009037A3" w:rsidTr="00CB78B8">
        <w:trPr>
          <w:jc w:val="center"/>
        </w:trPr>
        <w:tc>
          <w:tcPr>
            <w:tcW w:w="2972" w:type="dxa"/>
            <w:vAlign w:val="center"/>
          </w:tcPr>
          <w:p w:rsidR="001C549F" w:rsidRPr="000D73DC" w:rsidRDefault="001C549F" w:rsidP="001C549F">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7484" w:type="dxa"/>
            <w:gridSpan w:val="2"/>
            <w:vAlign w:val="center"/>
          </w:tcPr>
          <w:p w:rsidR="001C549F" w:rsidRPr="000D73DC" w:rsidRDefault="001C549F" w:rsidP="001C549F">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Габаритные размеры, мм</w:t>
            </w:r>
          </w:p>
        </w:tc>
        <w:tc>
          <w:tcPr>
            <w:tcW w:w="7484" w:type="dxa"/>
            <w:gridSpan w:val="2"/>
            <w:vAlign w:val="center"/>
          </w:tcPr>
          <w:p w:rsidR="001C549F" w:rsidRPr="009037A3" w:rsidRDefault="001C549F" w:rsidP="001C549F">
            <w:pPr>
              <w:jc w:val="center"/>
              <w:rPr>
                <w:rFonts w:ascii="Arial" w:hAnsi="Arial" w:cs="Arial"/>
                <w:sz w:val="16"/>
                <w:szCs w:val="16"/>
              </w:rPr>
            </w:pPr>
            <w:r w:rsidRPr="009037A3">
              <w:rPr>
                <w:rFonts w:ascii="Arial" w:hAnsi="Arial" w:cs="Arial"/>
                <w:sz w:val="16"/>
                <w:szCs w:val="16"/>
              </w:rPr>
              <w:t>См. на упаковке</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Материал корпуса</w:t>
            </w:r>
          </w:p>
        </w:tc>
        <w:tc>
          <w:tcPr>
            <w:tcW w:w="7484" w:type="dxa"/>
            <w:gridSpan w:val="2"/>
            <w:vAlign w:val="center"/>
          </w:tcPr>
          <w:p w:rsidR="001C549F" w:rsidRPr="009037A3" w:rsidRDefault="001C549F" w:rsidP="001C549F">
            <w:pPr>
              <w:jc w:val="center"/>
              <w:rPr>
                <w:rFonts w:ascii="Arial" w:hAnsi="Arial" w:cs="Arial"/>
                <w:sz w:val="16"/>
                <w:szCs w:val="16"/>
                <w:lang w:val="en-US"/>
              </w:rPr>
            </w:pPr>
            <w:r w:rsidRPr="009037A3">
              <w:rPr>
                <w:rFonts w:ascii="Arial" w:hAnsi="Arial" w:cs="Arial"/>
                <w:sz w:val="16"/>
                <w:szCs w:val="16"/>
              </w:rPr>
              <w:t>Алюминий</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Pr>
                <w:rFonts w:ascii="Arial" w:hAnsi="Arial" w:cs="Arial"/>
                <w:sz w:val="16"/>
                <w:szCs w:val="16"/>
              </w:rPr>
              <w:t>Материал рассеивателя</w:t>
            </w:r>
          </w:p>
        </w:tc>
        <w:tc>
          <w:tcPr>
            <w:tcW w:w="7484" w:type="dxa"/>
            <w:gridSpan w:val="2"/>
            <w:vAlign w:val="center"/>
          </w:tcPr>
          <w:p w:rsidR="001C549F" w:rsidRPr="009037A3" w:rsidRDefault="001C549F" w:rsidP="001C549F">
            <w:pPr>
              <w:jc w:val="center"/>
              <w:rPr>
                <w:rFonts w:ascii="Arial" w:hAnsi="Arial" w:cs="Arial"/>
                <w:sz w:val="16"/>
                <w:szCs w:val="16"/>
              </w:rPr>
            </w:pPr>
            <w:r>
              <w:rPr>
                <w:rFonts w:ascii="Arial" w:hAnsi="Arial" w:cs="Arial"/>
                <w:sz w:val="16"/>
                <w:szCs w:val="16"/>
              </w:rPr>
              <w:t>Поликарбонат</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Цвет корпуса</w:t>
            </w:r>
          </w:p>
        </w:tc>
        <w:tc>
          <w:tcPr>
            <w:tcW w:w="7484" w:type="dxa"/>
            <w:gridSpan w:val="2"/>
            <w:vAlign w:val="center"/>
          </w:tcPr>
          <w:p w:rsidR="001C549F" w:rsidRPr="009037A3" w:rsidRDefault="001C549F" w:rsidP="001C549F">
            <w:pPr>
              <w:jc w:val="center"/>
              <w:rPr>
                <w:rFonts w:ascii="Arial" w:hAnsi="Arial" w:cs="Arial"/>
                <w:sz w:val="16"/>
                <w:szCs w:val="16"/>
              </w:rPr>
            </w:pPr>
            <w:r w:rsidRPr="009037A3">
              <w:rPr>
                <w:rFonts w:ascii="Arial" w:hAnsi="Arial" w:cs="Arial"/>
                <w:sz w:val="16"/>
                <w:szCs w:val="16"/>
              </w:rPr>
              <w:t>См. на упаковке</w:t>
            </w:r>
          </w:p>
        </w:tc>
      </w:tr>
      <w:tr w:rsidR="001C549F" w:rsidRPr="009037A3" w:rsidTr="00CB78B8">
        <w:trPr>
          <w:jc w:val="center"/>
        </w:trPr>
        <w:tc>
          <w:tcPr>
            <w:tcW w:w="2972" w:type="dxa"/>
            <w:vAlign w:val="center"/>
          </w:tcPr>
          <w:p w:rsidR="001C549F" w:rsidRPr="000D73DC" w:rsidRDefault="001C549F" w:rsidP="001C549F">
            <w:pPr>
              <w:rPr>
                <w:rFonts w:ascii="Arial" w:hAnsi="Arial" w:cs="Arial"/>
                <w:sz w:val="16"/>
                <w:szCs w:val="16"/>
              </w:rPr>
            </w:pPr>
            <w:r w:rsidRPr="000D73DC">
              <w:rPr>
                <w:rFonts w:ascii="Arial" w:hAnsi="Arial" w:cs="Arial"/>
                <w:sz w:val="16"/>
                <w:szCs w:val="16"/>
              </w:rPr>
              <w:t>Тип источника света</w:t>
            </w:r>
          </w:p>
        </w:tc>
        <w:tc>
          <w:tcPr>
            <w:tcW w:w="7484" w:type="dxa"/>
            <w:gridSpan w:val="2"/>
            <w:vAlign w:val="center"/>
          </w:tcPr>
          <w:p w:rsidR="001C549F" w:rsidRPr="001C549F" w:rsidRDefault="001C549F" w:rsidP="001C549F">
            <w:pPr>
              <w:jc w:val="center"/>
              <w:rPr>
                <w:rFonts w:ascii="Arial" w:hAnsi="Arial" w:cs="Arial"/>
                <w:sz w:val="16"/>
                <w:szCs w:val="16"/>
              </w:rPr>
            </w:pPr>
            <w:r>
              <w:rPr>
                <w:rFonts w:ascii="Arial" w:hAnsi="Arial" w:cs="Arial"/>
                <w:sz w:val="16"/>
                <w:szCs w:val="16"/>
                <w:lang w:val="en-US"/>
              </w:rPr>
              <w:t>SMD</w:t>
            </w:r>
            <w:r>
              <w:rPr>
                <w:rFonts w:ascii="Arial" w:hAnsi="Arial" w:cs="Arial"/>
                <w:sz w:val="16"/>
                <w:szCs w:val="16"/>
              </w:rPr>
              <w:t>5630</w:t>
            </w:r>
          </w:p>
        </w:tc>
      </w:tr>
      <w:tr w:rsidR="001C549F" w:rsidRPr="009037A3" w:rsidTr="00CB78B8">
        <w:trPr>
          <w:jc w:val="center"/>
        </w:trPr>
        <w:tc>
          <w:tcPr>
            <w:tcW w:w="2972" w:type="dxa"/>
            <w:vAlign w:val="center"/>
          </w:tcPr>
          <w:p w:rsidR="001C549F" w:rsidRPr="000D73DC" w:rsidRDefault="001C549F" w:rsidP="001C549F">
            <w:pPr>
              <w:rPr>
                <w:rFonts w:ascii="Arial" w:hAnsi="Arial" w:cs="Arial"/>
                <w:sz w:val="16"/>
                <w:szCs w:val="16"/>
              </w:rPr>
            </w:pPr>
            <w:r w:rsidRPr="000D73DC">
              <w:rPr>
                <w:rFonts w:ascii="Arial" w:hAnsi="Arial" w:cs="Arial"/>
                <w:sz w:val="16"/>
                <w:szCs w:val="16"/>
              </w:rPr>
              <w:t>Угол рассеивания светильника</w:t>
            </w:r>
          </w:p>
        </w:tc>
        <w:tc>
          <w:tcPr>
            <w:tcW w:w="7484" w:type="dxa"/>
            <w:gridSpan w:val="2"/>
            <w:vAlign w:val="center"/>
          </w:tcPr>
          <w:p w:rsidR="001C549F" w:rsidRPr="001C549F" w:rsidRDefault="001C549F" w:rsidP="001C549F">
            <w:pPr>
              <w:jc w:val="center"/>
              <w:rPr>
                <w:rFonts w:ascii="Arial" w:hAnsi="Arial" w:cs="Arial"/>
                <w:sz w:val="16"/>
                <w:szCs w:val="16"/>
              </w:rPr>
            </w:pPr>
            <w:r>
              <w:rPr>
                <w:rFonts w:ascii="Arial" w:hAnsi="Arial" w:cs="Arial"/>
                <w:sz w:val="16"/>
                <w:szCs w:val="16"/>
              </w:rPr>
              <w:t>110</w:t>
            </w:r>
            <w:r w:rsidRPr="009037A3">
              <w:rPr>
                <w:rFonts w:ascii="Arial" w:hAnsi="Arial" w:cs="Arial"/>
                <w:sz w:val="16"/>
                <w:szCs w:val="16"/>
              </w:rPr>
              <w:t>°</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Степень защиты от пыли и влаги</w:t>
            </w:r>
          </w:p>
        </w:tc>
        <w:tc>
          <w:tcPr>
            <w:tcW w:w="7484" w:type="dxa"/>
            <w:gridSpan w:val="2"/>
            <w:vAlign w:val="center"/>
          </w:tcPr>
          <w:p w:rsidR="001C549F" w:rsidRPr="009037A3" w:rsidRDefault="001C549F" w:rsidP="001C549F">
            <w:pPr>
              <w:jc w:val="center"/>
              <w:rPr>
                <w:rFonts w:ascii="Arial" w:hAnsi="Arial" w:cs="Arial"/>
                <w:sz w:val="16"/>
                <w:szCs w:val="16"/>
                <w:lang w:val="en-US"/>
              </w:rPr>
            </w:pPr>
            <w:r>
              <w:rPr>
                <w:rFonts w:ascii="Arial" w:hAnsi="Arial" w:cs="Arial"/>
                <w:sz w:val="16"/>
                <w:szCs w:val="16"/>
                <w:lang w:val="en-US"/>
              </w:rPr>
              <w:t>IP40</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Угол поворота в горизонтальной оси</w:t>
            </w:r>
          </w:p>
        </w:tc>
        <w:tc>
          <w:tcPr>
            <w:tcW w:w="7484" w:type="dxa"/>
            <w:gridSpan w:val="2"/>
            <w:vAlign w:val="center"/>
          </w:tcPr>
          <w:p w:rsidR="001C549F" w:rsidRPr="00A633E8" w:rsidRDefault="001C549F" w:rsidP="001C549F">
            <w:pPr>
              <w:jc w:val="center"/>
              <w:rPr>
                <w:rFonts w:ascii="Arial" w:hAnsi="Arial" w:cs="Arial"/>
                <w:sz w:val="16"/>
                <w:szCs w:val="16"/>
                <w:lang w:val="en-US"/>
              </w:rPr>
            </w:pPr>
            <w:r>
              <w:rPr>
                <w:rFonts w:ascii="Arial" w:hAnsi="Arial" w:cs="Arial"/>
                <w:sz w:val="16"/>
                <w:szCs w:val="16"/>
                <w:lang w:val="en-US"/>
              </w:rPr>
              <w:t>-</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Угол поворота в вертикальной оси</w:t>
            </w:r>
          </w:p>
        </w:tc>
        <w:tc>
          <w:tcPr>
            <w:tcW w:w="7484" w:type="dxa"/>
            <w:gridSpan w:val="2"/>
            <w:vAlign w:val="center"/>
          </w:tcPr>
          <w:p w:rsidR="001C549F" w:rsidRPr="00A633E8" w:rsidRDefault="001C549F" w:rsidP="001C549F">
            <w:pPr>
              <w:jc w:val="center"/>
              <w:rPr>
                <w:rFonts w:ascii="Arial" w:hAnsi="Arial" w:cs="Arial"/>
                <w:sz w:val="16"/>
                <w:szCs w:val="16"/>
                <w:lang w:val="en-US"/>
              </w:rPr>
            </w:pPr>
            <w:r>
              <w:rPr>
                <w:rFonts w:ascii="Arial" w:hAnsi="Arial" w:cs="Arial"/>
                <w:sz w:val="16"/>
                <w:szCs w:val="16"/>
                <w:lang w:val="en-US"/>
              </w:rPr>
              <w:t>-</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Класс защиты от поражения током</w:t>
            </w:r>
          </w:p>
        </w:tc>
        <w:tc>
          <w:tcPr>
            <w:tcW w:w="7484" w:type="dxa"/>
            <w:gridSpan w:val="2"/>
            <w:vAlign w:val="center"/>
          </w:tcPr>
          <w:p w:rsidR="001C549F" w:rsidRPr="009037A3" w:rsidRDefault="001C549F" w:rsidP="001C549F">
            <w:pPr>
              <w:jc w:val="center"/>
              <w:rPr>
                <w:rFonts w:ascii="Arial" w:hAnsi="Arial" w:cs="Arial"/>
                <w:sz w:val="16"/>
                <w:szCs w:val="16"/>
                <w:lang w:val="en-US"/>
              </w:rPr>
            </w:pPr>
            <w:r w:rsidRPr="009037A3">
              <w:rPr>
                <w:rFonts w:ascii="Arial" w:hAnsi="Arial" w:cs="Arial"/>
                <w:sz w:val="16"/>
                <w:szCs w:val="16"/>
                <w:lang w:val="en-US"/>
              </w:rPr>
              <w:t>II</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Температура эксплуатации</w:t>
            </w:r>
          </w:p>
        </w:tc>
        <w:tc>
          <w:tcPr>
            <w:tcW w:w="7484" w:type="dxa"/>
            <w:gridSpan w:val="2"/>
            <w:vAlign w:val="center"/>
          </w:tcPr>
          <w:p w:rsidR="001C549F" w:rsidRPr="009037A3" w:rsidRDefault="001C549F" w:rsidP="001C549F">
            <w:pPr>
              <w:jc w:val="center"/>
              <w:rPr>
                <w:rFonts w:ascii="Arial" w:hAnsi="Arial" w:cs="Arial"/>
                <w:sz w:val="16"/>
                <w:szCs w:val="16"/>
              </w:rPr>
            </w:pPr>
            <w:r>
              <w:rPr>
                <w:rFonts w:ascii="Arial" w:hAnsi="Arial" w:cs="Arial"/>
                <w:sz w:val="16"/>
                <w:szCs w:val="16"/>
              </w:rPr>
              <w:t>-20</w:t>
            </w:r>
            <w:r w:rsidRPr="009037A3">
              <w:rPr>
                <w:rFonts w:ascii="Arial" w:hAnsi="Arial" w:cs="Arial"/>
                <w:sz w:val="16"/>
                <w:szCs w:val="16"/>
              </w:rPr>
              <w:t>... +4</w:t>
            </w:r>
            <w:r>
              <w:rPr>
                <w:rFonts w:ascii="Arial" w:hAnsi="Arial" w:cs="Arial"/>
                <w:sz w:val="16"/>
                <w:szCs w:val="16"/>
              </w:rPr>
              <w:t>0</w:t>
            </w:r>
            <w:r w:rsidRPr="009037A3">
              <w:rPr>
                <w:rFonts w:ascii="Arial" w:hAnsi="Arial" w:cs="Arial"/>
                <w:sz w:val="16"/>
                <w:szCs w:val="16"/>
              </w:rPr>
              <w:t xml:space="preserve"> °С</w:t>
            </w:r>
          </w:p>
        </w:tc>
      </w:tr>
      <w:tr w:rsidR="001C549F" w:rsidRPr="009037A3" w:rsidTr="00CB78B8">
        <w:trPr>
          <w:jc w:val="center"/>
        </w:trPr>
        <w:tc>
          <w:tcPr>
            <w:tcW w:w="2972" w:type="dxa"/>
            <w:vAlign w:val="center"/>
          </w:tcPr>
          <w:p w:rsidR="001C549F" w:rsidRPr="009037A3" w:rsidRDefault="001C549F" w:rsidP="001C549F">
            <w:pPr>
              <w:rPr>
                <w:rFonts w:ascii="Arial" w:hAnsi="Arial" w:cs="Arial"/>
                <w:sz w:val="16"/>
                <w:szCs w:val="16"/>
              </w:rPr>
            </w:pPr>
            <w:r w:rsidRPr="009037A3">
              <w:rPr>
                <w:rFonts w:ascii="Arial" w:hAnsi="Arial" w:cs="Arial"/>
                <w:sz w:val="16"/>
                <w:szCs w:val="16"/>
              </w:rPr>
              <w:t>Климатическое исполнение</w:t>
            </w:r>
          </w:p>
        </w:tc>
        <w:tc>
          <w:tcPr>
            <w:tcW w:w="7484" w:type="dxa"/>
            <w:gridSpan w:val="2"/>
            <w:vAlign w:val="center"/>
          </w:tcPr>
          <w:p w:rsidR="001C549F" w:rsidRPr="009037A3" w:rsidRDefault="001C549F" w:rsidP="001C549F">
            <w:pPr>
              <w:jc w:val="center"/>
              <w:rPr>
                <w:rFonts w:ascii="Arial" w:hAnsi="Arial" w:cs="Arial"/>
                <w:sz w:val="16"/>
                <w:szCs w:val="16"/>
              </w:rPr>
            </w:pPr>
            <w:r w:rsidRPr="009037A3">
              <w:rPr>
                <w:rFonts w:ascii="Arial" w:hAnsi="Arial" w:cs="Arial"/>
                <w:sz w:val="16"/>
                <w:szCs w:val="16"/>
              </w:rPr>
              <w:t>УХЛ4</w:t>
            </w:r>
          </w:p>
        </w:tc>
      </w:tr>
      <w:tr w:rsidR="00CB78B8" w:rsidRPr="009037A3" w:rsidTr="00CB78B8">
        <w:trPr>
          <w:jc w:val="center"/>
        </w:trPr>
        <w:tc>
          <w:tcPr>
            <w:tcW w:w="2972" w:type="dxa"/>
            <w:vAlign w:val="center"/>
          </w:tcPr>
          <w:p w:rsidR="00CB78B8" w:rsidRPr="000D73DC" w:rsidRDefault="00CB78B8" w:rsidP="00CB78B8">
            <w:pPr>
              <w:rPr>
                <w:rFonts w:ascii="Arial" w:hAnsi="Arial" w:cs="Arial"/>
                <w:sz w:val="16"/>
                <w:szCs w:val="16"/>
              </w:rPr>
            </w:pPr>
            <w:r w:rsidRPr="000D73DC">
              <w:rPr>
                <w:rFonts w:ascii="Arial" w:hAnsi="Arial" w:cs="Arial"/>
                <w:sz w:val="16"/>
                <w:szCs w:val="16"/>
              </w:rPr>
              <w:t>Коэффициент пульсации освещенности</w:t>
            </w:r>
          </w:p>
        </w:tc>
        <w:tc>
          <w:tcPr>
            <w:tcW w:w="7484" w:type="dxa"/>
            <w:gridSpan w:val="2"/>
            <w:vAlign w:val="center"/>
          </w:tcPr>
          <w:p w:rsidR="00CB78B8" w:rsidRPr="000D73DC" w:rsidRDefault="00CB78B8" w:rsidP="00CB78B8">
            <w:pPr>
              <w:jc w:val="center"/>
              <w:rPr>
                <w:rFonts w:ascii="Arial" w:hAnsi="Arial" w:cs="Arial"/>
                <w:sz w:val="16"/>
                <w:szCs w:val="16"/>
                <w:lang w:val="en-US"/>
              </w:rPr>
            </w:pPr>
            <w:r w:rsidRPr="000D73DC">
              <w:rPr>
                <w:rFonts w:ascii="Arial" w:hAnsi="Arial" w:cs="Arial"/>
                <w:sz w:val="16"/>
                <w:szCs w:val="16"/>
                <w:lang w:val="en-US"/>
              </w:rPr>
              <w:t>&lt;5%</w:t>
            </w:r>
          </w:p>
        </w:tc>
      </w:tr>
      <w:tr w:rsidR="00CB78B8" w:rsidRPr="009037A3" w:rsidTr="00CB78B8">
        <w:trPr>
          <w:jc w:val="center"/>
        </w:trPr>
        <w:tc>
          <w:tcPr>
            <w:tcW w:w="2972" w:type="dxa"/>
            <w:vAlign w:val="center"/>
          </w:tcPr>
          <w:p w:rsidR="00CB78B8" w:rsidRPr="000D73DC" w:rsidRDefault="00CB78B8" w:rsidP="00CB78B8">
            <w:pPr>
              <w:rPr>
                <w:rFonts w:ascii="Arial" w:hAnsi="Arial" w:cs="Arial"/>
                <w:sz w:val="16"/>
                <w:szCs w:val="16"/>
                <w:vertAlign w:val="subscript"/>
              </w:rPr>
            </w:pPr>
            <w:r w:rsidRPr="000D73DC">
              <w:rPr>
                <w:rFonts w:ascii="Arial" w:hAnsi="Arial" w:cs="Arial"/>
                <w:sz w:val="16"/>
                <w:szCs w:val="16"/>
              </w:rPr>
              <w:t>Срок службы</w:t>
            </w:r>
            <w:r>
              <w:rPr>
                <w:rFonts w:ascii="Arial" w:hAnsi="Arial" w:cs="Arial"/>
                <w:sz w:val="16"/>
                <w:szCs w:val="16"/>
              </w:rPr>
              <w:t xml:space="preserve"> светодиодов</w:t>
            </w:r>
          </w:p>
        </w:tc>
        <w:tc>
          <w:tcPr>
            <w:tcW w:w="7484" w:type="dxa"/>
            <w:gridSpan w:val="2"/>
            <w:vAlign w:val="center"/>
          </w:tcPr>
          <w:p w:rsidR="00CB78B8" w:rsidRPr="000D73DC" w:rsidRDefault="00CB78B8" w:rsidP="00CB78B8">
            <w:pPr>
              <w:jc w:val="center"/>
              <w:rPr>
                <w:rFonts w:ascii="Arial" w:hAnsi="Arial" w:cs="Arial"/>
                <w:sz w:val="16"/>
                <w:szCs w:val="16"/>
              </w:rPr>
            </w:pPr>
            <w:r w:rsidRPr="000D73DC">
              <w:rPr>
                <w:rFonts w:ascii="Arial" w:hAnsi="Arial" w:cs="Arial"/>
                <w:sz w:val="16"/>
                <w:szCs w:val="16"/>
              </w:rPr>
              <w:t>50000 часов</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A633E8" w:rsidRDefault="00A633E8" w:rsidP="00F1388B">
      <w:pPr>
        <w:pStyle w:val="a3"/>
        <w:numPr>
          <w:ilvl w:val="0"/>
          <w:numId w:val="4"/>
        </w:numPr>
        <w:spacing w:after="0"/>
        <w:jc w:val="both"/>
        <w:rPr>
          <w:rFonts w:ascii="Arial" w:hAnsi="Arial" w:cs="Arial"/>
          <w:sz w:val="16"/>
          <w:szCs w:val="16"/>
        </w:rPr>
      </w:pPr>
      <w:r>
        <w:rPr>
          <w:rFonts w:ascii="Arial" w:hAnsi="Arial" w:cs="Arial"/>
          <w:sz w:val="16"/>
          <w:szCs w:val="16"/>
        </w:rPr>
        <w:t>Отсоедините адаптер от корпуса светильника, повернув его против часовой стрелки.</w:t>
      </w:r>
    </w:p>
    <w:p w:rsidR="00A633E8" w:rsidRDefault="00A633E8" w:rsidP="00F1388B">
      <w:pPr>
        <w:pStyle w:val="a3"/>
        <w:numPr>
          <w:ilvl w:val="0"/>
          <w:numId w:val="4"/>
        </w:numPr>
        <w:spacing w:after="0"/>
        <w:jc w:val="both"/>
        <w:rPr>
          <w:rFonts w:ascii="Arial" w:hAnsi="Arial" w:cs="Arial"/>
          <w:sz w:val="16"/>
          <w:szCs w:val="16"/>
        </w:rPr>
      </w:pPr>
      <w:r>
        <w:rPr>
          <w:rFonts w:ascii="Arial" w:hAnsi="Arial" w:cs="Arial"/>
          <w:sz w:val="16"/>
          <w:szCs w:val="16"/>
        </w:rPr>
        <w:t xml:space="preserve">Установите адаптер в </w:t>
      </w:r>
      <w:proofErr w:type="spellStart"/>
      <w:r>
        <w:rPr>
          <w:rFonts w:ascii="Arial" w:hAnsi="Arial" w:cs="Arial"/>
          <w:sz w:val="16"/>
          <w:szCs w:val="16"/>
        </w:rPr>
        <w:t>шинопровод</w:t>
      </w:r>
      <w:proofErr w:type="spellEnd"/>
      <w:r>
        <w:rPr>
          <w:rFonts w:ascii="Arial" w:hAnsi="Arial" w:cs="Arial"/>
          <w:sz w:val="16"/>
          <w:szCs w:val="16"/>
        </w:rPr>
        <w:t>.</w:t>
      </w:r>
    </w:p>
    <w:p w:rsidR="00B42CFF" w:rsidRDefault="00780901" w:rsidP="00C61679">
      <w:pPr>
        <w:pStyle w:val="a3"/>
        <w:numPr>
          <w:ilvl w:val="0"/>
          <w:numId w:val="4"/>
        </w:numPr>
        <w:spacing w:after="0"/>
        <w:jc w:val="both"/>
        <w:rPr>
          <w:rFonts w:ascii="Arial" w:hAnsi="Arial" w:cs="Arial"/>
          <w:sz w:val="16"/>
          <w:szCs w:val="16"/>
        </w:rPr>
      </w:pPr>
      <w:r>
        <w:rPr>
          <w:rFonts w:ascii="Arial" w:hAnsi="Arial" w:cs="Arial"/>
          <w:sz w:val="16"/>
          <w:szCs w:val="16"/>
        </w:rPr>
        <w:t>Подключите</w:t>
      </w:r>
      <w:r w:rsidR="00C61679" w:rsidRPr="009037A3">
        <w:rPr>
          <w:rFonts w:ascii="Arial" w:hAnsi="Arial" w:cs="Arial"/>
          <w:sz w:val="16"/>
          <w:szCs w:val="16"/>
        </w:rPr>
        <w:t xml:space="preserve"> светильник </w:t>
      </w:r>
      <w:r>
        <w:rPr>
          <w:rFonts w:ascii="Arial" w:hAnsi="Arial" w:cs="Arial"/>
          <w:sz w:val="16"/>
          <w:szCs w:val="16"/>
        </w:rPr>
        <w:t>к</w:t>
      </w:r>
      <w:r w:rsidR="00C61679" w:rsidRPr="009037A3">
        <w:rPr>
          <w:rFonts w:ascii="Arial" w:hAnsi="Arial" w:cs="Arial"/>
          <w:sz w:val="16"/>
          <w:szCs w:val="16"/>
        </w:rPr>
        <w:t xml:space="preserve"> </w:t>
      </w:r>
      <w:proofErr w:type="spellStart"/>
      <w:r w:rsidR="00C61679" w:rsidRPr="009037A3">
        <w:rPr>
          <w:rFonts w:ascii="Arial" w:hAnsi="Arial" w:cs="Arial"/>
          <w:sz w:val="16"/>
          <w:szCs w:val="16"/>
        </w:rPr>
        <w:t>шинопровод</w:t>
      </w:r>
      <w:r>
        <w:rPr>
          <w:rFonts w:ascii="Arial" w:hAnsi="Arial" w:cs="Arial"/>
          <w:sz w:val="16"/>
          <w:szCs w:val="16"/>
        </w:rPr>
        <w:t>у</w:t>
      </w:r>
      <w:proofErr w:type="spellEnd"/>
      <w:r>
        <w:rPr>
          <w:rFonts w:ascii="Arial" w:hAnsi="Arial" w:cs="Arial"/>
          <w:sz w:val="16"/>
          <w:szCs w:val="16"/>
        </w:rPr>
        <w:t>, повернув его по часовой стрелки</w:t>
      </w:r>
      <w:r w:rsidR="00C61679" w:rsidRPr="009037A3">
        <w:rPr>
          <w:rFonts w:ascii="Arial" w:hAnsi="Arial" w:cs="Arial"/>
          <w:sz w:val="16"/>
          <w:szCs w:val="16"/>
        </w:rPr>
        <w:t>.</w:t>
      </w:r>
    </w:p>
    <w:p w:rsidR="00780901" w:rsidRPr="009037A3" w:rsidRDefault="00780901" w:rsidP="00C61679">
      <w:pPr>
        <w:pStyle w:val="a3"/>
        <w:numPr>
          <w:ilvl w:val="0"/>
          <w:numId w:val="4"/>
        </w:numPr>
        <w:spacing w:after="0"/>
        <w:jc w:val="both"/>
        <w:rPr>
          <w:rFonts w:ascii="Arial" w:hAnsi="Arial" w:cs="Arial"/>
          <w:sz w:val="16"/>
          <w:szCs w:val="16"/>
        </w:rPr>
      </w:pPr>
      <w:r>
        <w:rPr>
          <w:rFonts w:ascii="Arial" w:hAnsi="Arial" w:cs="Arial"/>
          <w:sz w:val="16"/>
          <w:szCs w:val="16"/>
        </w:rPr>
        <w:t>Убедитесь, что светильник надежно зафиксирован.</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CB78B8" w:rsidRPr="009037A3" w:rsidTr="00CB78B8">
        <w:trPr>
          <w:trHeight w:val="385"/>
        </w:trPr>
        <w:tc>
          <w:tcPr>
            <w:tcW w:w="1742" w:type="pct"/>
            <w:vMerge/>
            <w:tcBorders>
              <w:left w:val="single" w:sz="4" w:space="0" w:color="000000"/>
              <w:bottom w:val="single" w:sz="4" w:space="0" w:color="auto"/>
              <w:right w:val="nil"/>
            </w:tcBorders>
            <w:vAlign w:val="center"/>
            <w:hideMark/>
          </w:tcPr>
          <w:p w:rsidR="00CB78B8" w:rsidRPr="009037A3" w:rsidRDefault="00CB78B8"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CB78B8" w:rsidRPr="009037A3" w:rsidRDefault="00CB78B8"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auto"/>
              <w:right w:val="single" w:sz="4" w:space="0" w:color="000000"/>
            </w:tcBorders>
            <w:vAlign w:val="center"/>
            <w:hideMark/>
          </w:tcPr>
          <w:p w:rsidR="00CB78B8" w:rsidRPr="009037A3" w:rsidRDefault="00CB78B8"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lastRenderedPageBreak/>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33DA9" w:rsidP="00AE591E">
      <w:pPr>
        <w:spacing w:after="0"/>
        <w:jc w:val="both"/>
        <w:rPr>
          <w:rFonts w:ascii="Arial" w:hAnsi="Arial" w:cs="Arial"/>
          <w:b/>
          <w:sz w:val="16"/>
          <w:szCs w:val="16"/>
        </w:rPr>
      </w:pPr>
      <w:r w:rsidRPr="00933DA9">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933DA9" w:rsidP="009037A3">
      <w:pPr>
        <w:spacing w:after="0" w:line="240" w:lineRule="auto"/>
        <w:jc w:val="both"/>
        <w:rPr>
          <w:rFonts w:ascii="Arial" w:hAnsi="Arial" w:cs="Arial"/>
          <w:sz w:val="16"/>
          <w:szCs w:val="16"/>
        </w:rPr>
      </w:pPr>
      <w:r w:rsidRPr="000343C8">
        <w:rPr>
          <w:rFonts w:ascii="Arial" w:hAnsi="Arial" w:cs="Arial"/>
          <w:sz w:val="16"/>
          <w:szCs w:val="16"/>
        </w:rPr>
        <w:t>Сделано в Китае. Изготовитель: «NINGBO YUSING LIGHTING CO., LTD» Китай, No.1199, MINGGUANG RD.JIANGSHAN TOWN, NINGBO, CHINA/</w:t>
      </w:r>
      <w:proofErr w:type="spellStart"/>
      <w:r w:rsidRPr="000343C8">
        <w:rPr>
          <w:rFonts w:ascii="Arial" w:hAnsi="Arial" w:cs="Arial"/>
          <w:sz w:val="16"/>
          <w:szCs w:val="16"/>
        </w:rPr>
        <w:t>Нинбо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Лайтинг</w:t>
      </w:r>
      <w:proofErr w:type="spellEnd"/>
      <w:r w:rsidRPr="000343C8">
        <w:rPr>
          <w:rFonts w:ascii="Arial" w:hAnsi="Arial" w:cs="Arial"/>
          <w:sz w:val="16"/>
          <w:szCs w:val="16"/>
        </w:rPr>
        <w:t xml:space="preserve">, Ко., № 1199, </w:t>
      </w:r>
      <w:proofErr w:type="spellStart"/>
      <w:r w:rsidRPr="000343C8">
        <w:rPr>
          <w:rFonts w:ascii="Arial" w:hAnsi="Arial" w:cs="Arial"/>
          <w:sz w:val="16"/>
          <w:szCs w:val="16"/>
        </w:rPr>
        <w:t>Минггуан</w:t>
      </w:r>
      <w:proofErr w:type="spellEnd"/>
      <w:r w:rsidRPr="000343C8">
        <w:rPr>
          <w:rFonts w:ascii="Arial" w:hAnsi="Arial" w:cs="Arial"/>
          <w:sz w:val="16"/>
          <w:szCs w:val="16"/>
        </w:rPr>
        <w:t xml:space="preserve"> </w:t>
      </w:r>
      <w:proofErr w:type="spellStart"/>
      <w:r w:rsidRPr="000343C8">
        <w:rPr>
          <w:rFonts w:ascii="Arial" w:hAnsi="Arial" w:cs="Arial"/>
          <w:sz w:val="16"/>
          <w:szCs w:val="16"/>
        </w:rPr>
        <w:t>Роуд</w:t>
      </w:r>
      <w:proofErr w:type="spellEnd"/>
      <w:r w:rsidRPr="000343C8">
        <w:rPr>
          <w:rFonts w:ascii="Arial" w:hAnsi="Arial" w:cs="Arial"/>
          <w:sz w:val="16"/>
          <w:szCs w:val="16"/>
        </w:rPr>
        <w:t xml:space="preserve">, </w:t>
      </w:r>
      <w:proofErr w:type="spellStart"/>
      <w:r w:rsidRPr="000343C8">
        <w:rPr>
          <w:rFonts w:ascii="Arial" w:hAnsi="Arial" w:cs="Arial"/>
          <w:sz w:val="16"/>
          <w:szCs w:val="16"/>
        </w:rPr>
        <w:t>Цзяншань</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Нинбо</w:t>
      </w:r>
      <w:proofErr w:type="spellEnd"/>
      <w:r w:rsidRPr="000343C8">
        <w:rPr>
          <w:rFonts w:ascii="Arial" w:hAnsi="Arial" w:cs="Arial"/>
          <w:sz w:val="16"/>
          <w:szCs w:val="16"/>
        </w:rPr>
        <w:t>, Китай. Филиалы завода-изготовителя: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Yusing</w:t>
      </w:r>
      <w:proofErr w:type="spellEnd"/>
      <w:r w:rsidRPr="000343C8">
        <w:rPr>
          <w:rFonts w:ascii="Arial" w:hAnsi="Arial" w:cs="Arial"/>
          <w:sz w:val="16"/>
          <w:szCs w:val="16"/>
        </w:rPr>
        <w:t xml:space="preserve"> </w:t>
      </w:r>
      <w:proofErr w:type="spellStart"/>
      <w:r w:rsidRPr="000343C8">
        <w:rPr>
          <w:rFonts w:ascii="Arial" w:hAnsi="Arial" w:cs="Arial"/>
          <w:sz w:val="16"/>
          <w:szCs w:val="16"/>
        </w:rPr>
        <w:t>Electronics</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LTD» </w:t>
      </w:r>
      <w:proofErr w:type="spellStart"/>
      <w:r w:rsidRPr="000343C8">
        <w:rPr>
          <w:rFonts w:ascii="Arial" w:hAnsi="Arial" w:cs="Arial"/>
          <w:sz w:val="16"/>
          <w:szCs w:val="16"/>
        </w:rPr>
        <w:t>Civil</w:t>
      </w:r>
      <w:proofErr w:type="spellEnd"/>
      <w:r w:rsidRPr="000343C8">
        <w:rPr>
          <w:rFonts w:ascii="Arial" w:hAnsi="Arial" w:cs="Arial"/>
          <w:sz w:val="16"/>
          <w:szCs w:val="16"/>
        </w:rPr>
        <w:t xml:space="preserve"> </w:t>
      </w:r>
      <w:proofErr w:type="spellStart"/>
      <w:r w:rsidRPr="000343C8">
        <w:rPr>
          <w:rFonts w:ascii="Arial" w:hAnsi="Arial" w:cs="Arial"/>
          <w:sz w:val="16"/>
          <w:szCs w:val="16"/>
        </w:rPr>
        <w:t>Industrial</w:t>
      </w:r>
      <w:proofErr w:type="spellEnd"/>
      <w:r w:rsidRPr="000343C8">
        <w:rPr>
          <w:rFonts w:ascii="Arial" w:hAnsi="Arial" w:cs="Arial"/>
          <w:sz w:val="16"/>
          <w:szCs w:val="16"/>
        </w:rPr>
        <w:t xml:space="preserve"> </w:t>
      </w:r>
      <w:proofErr w:type="spellStart"/>
      <w:r w:rsidRPr="000343C8">
        <w:rPr>
          <w:rFonts w:ascii="Arial" w:hAnsi="Arial" w:cs="Arial"/>
          <w:sz w:val="16"/>
          <w:szCs w:val="16"/>
        </w:rPr>
        <w:t>Zone</w:t>
      </w:r>
      <w:proofErr w:type="spellEnd"/>
      <w:r w:rsidRPr="000343C8">
        <w:rPr>
          <w:rFonts w:ascii="Arial" w:hAnsi="Arial" w:cs="Arial"/>
          <w:sz w:val="16"/>
          <w:szCs w:val="16"/>
        </w:rPr>
        <w:t xml:space="preserve">, </w:t>
      </w:r>
      <w:proofErr w:type="spellStart"/>
      <w:r w:rsidRPr="000343C8">
        <w:rPr>
          <w:rFonts w:ascii="Arial" w:hAnsi="Arial" w:cs="Arial"/>
          <w:sz w:val="16"/>
          <w:szCs w:val="16"/>
        </w:rPr>
        <w:t>Pugen</w:t>
      </w:r>
      <w:proofErr w:type="spellEnd"/>
      <w:r w:rsidRPr="000343C8">
        <w:rPr>
          <w:rFonts w:ascii="Arial" w:hAnsi="Arial" w:cs="Arial"/>
          <w:sz w:val="16"/>
          <w:szCs w:val="16"/>
        </w:rPr>
        <w:t xml:space="preserve"> </w:t>
      </w:r>
      <w:proofErr w:type="spellStart"/>
      <w:r w:rsidRPr="000343C8">
        <w:rPr>
          <w:rFonts w:ascii="Arial" w:hAnsi="Arial" w:cs="Arial"/>
          <w:sz w:val="16"/>
          <w:szCs w:val="16"/>
        </w:rPr>
        <w:t>Village</w:t>
      </w:r>
      <w:proofErr w:type="spellEnd"/>
      <w:r w:rsidRPr="000343C8">
        <w:rPr>
          <w:rFonts w:ascii="Arial" w:hAnsi="Arial" w:cs="Arial"/>
          <w:sz w:val="16"/>
          <w:szCs w:val="16"/>
        </w:rPr>
        <w:t xml:space="preserve">, </w:t>
      </w:r>
      <w:proofErr w:type="spellStart"/>
      <w:r w:rsidRPr="000343C8">
        <w:rPr>
          <w:rFonts w:ascii="Arial" w:hAnsi="Arial" w:cs="Arial"/>
          <w:sz w:val="16"/>
          <w:szCs w:val="16"/>
        </w:rPr>
        <w:t>Qiu’ai</w:t>
      </w:r>
      <w:proofErr w:type="spellEnd"/>
      <w:r w:rsidRPr="000343C8">
        <w:rPr>
          <w:rFonts w:ascii="Arial" w:hAnsi="Arial" w:cs="Arial"/>
          <w:sz w:val="16"/>
          <w:szCs w:val="16"/>
        </w:rPr>
        <w:t xml:space="preserve">,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 xml:space="preserve"> / ООО "</w:t>
      </w:r>
      <w:proofErr w:type="spellStart"/>
      <w:r w:rsidRPr="000343C8">
        <w:rPr>
          <w:rFonts w:ascii="Arial" w:hAnsi="Arial" w:cs="Arial"/>
          <w:sz w:val="16"/>
          <w:szCs w:val="16"/>
        </w:rPr>
        <w:t>Нингбо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Электроникс</w:t>
      </w:r>
      <w:proofErr w:type="spellEnd"/>
      <w:r w:rsidRPr="000343C8">
        <w:rPr>
          <w:rFonts w:ascii="Arial" w:hAnsi="Arial" w:cs="Arial"/>
          <w:sz w:val="16"/>
          <w:szCs w:val="16"/>
        </w:rPr>
        <w:t xml:space="preserve"> Компания", зона </w:t>
      </w:r>
      <w:proofErr w:type="spellStart"/>
      <w:r w:rsidRPr="000343C8">
        <w:rPr>
          <w:rFonts w:ascii="Arial" w:hAnsi="Arial" w:cs="Arial"/>
          <w:sz w:val="16"/>
          <w:szCs w:val="16"/>
        </w:rPr>
        <w:t>Цивил</w:t>
      </w:r>
      <w:proofErr w:type="spellEnd"/>
      <w:r w:rsidRPr="000343C8">
        <w:rPr>
          <w:rFonts w:ascii="Arial" w:hAnsi="Arial" w:cs="Arial"/>
          <w:sz w:val="16"/>
          <w:szCs w:val="16"/>
        </w:rPr>
        <w:t xml:space="preserve"> Индастриал, населенный пункт </w:t>
      </w:r>
      <w:proofErr w:type="spellStart"/>
      <w:r w:rsidRPr="000343C8">
        <w:rPr>
          <w:rFonts w:ascii="Arial" w:hAnsi="Arial" w:cs="Arial"/>
          <w:sz w:val="16"/>
          <w:szCs w:val="16"/>
        </w:rPr>
        <w:t>Пуген</w:t>
      </w:r>
      <w:proofErr w:type="spellEnd"/>
      <w:r w:rsidRPr="000343C8">
        <w:rPr>
          <w:rFonts w:ascii="Arial" w:hAnsi="Arial" w:cs="Arial"/>
          <w:sz w:val="16"/>
          <w:szCs w:val="16"/>
        </w:rPr>
        <w:t xml:space="preserve">, </w:t>
      </w:r>
      <w:proofErr w:type="spellStart"/>
      <w:r w:rsidRPr="000343C8">
        <w:rPr>
          <w:rFonts w:ascii="Arial" w:hAnsi="Arial" w:cs="Arial"/>
          <w:sz w:val="16"/>
          <w:szCs w:val="16"/>
        </w:rPr>
        <w:t>Цюай</w:t>
      </w:r>
      <w:proofErr w:type="spellEnd"/>
      <w:r w:rsidRPr="000343C8">
        <w:rPr>
          <w:rFonts w:ascii="Arial" w:hAnsi="Arial" w:cs="Arial"/>
          <w:sz w:val="16"/>
          <w:szCs w:val="16"/>
        </w:rPr>
        <w:t xml:space="preserve">, г. </w:t>
      </w:r>
      <w:proofErr w:type="spellStart"/>
      <w:r w:rsidRPr="000343C8">
        <w:rPr>
          <w:rFonts w:ascii="Arial" w:hAnsi="Arial" w:cs="Arial"/>
          <w:sz w:val="16"/>
          <w:szCs w:val="16"/>
        </w:rPr>
        <w:t>Нингбо</w:t>
      </w:r>
      <w:proofErr w:type="spellEnd"/>
      <w:r w:rsidRPr="000343C8">
        <w:rPr>
          <w:rFonts w:ascii="Arial" w:hAnsi="Arial" w:cs="Arial"/>
          <w:sz w:val="16"/>
          <w:szCs w:val="16"/>
        </w:rPr>
        <w:t>, Китай;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MEKA </w:t>
      </w:r>
      <w:proofErr w:type="spellStart"/>
      <w:r w:rsidRPr="000343C8">
        <w:rPr>
          <w:rFonts w:ascii="Arial" w:hAnsi="Arial" w:cs="Arial"/>
          <w:sz w:val="16"/>
          <w:szCs w:val="16"/>
        </w:rPr>
        <w:t>Electric</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w:t>
      </w:r>
      <w:proofErr w:type="spellStart"/>
      <w:r w:rsidRPr="000343C8">
        <w:rPr>
          <w:rFonts w:ascii="Arial" w:hAnsi="Arial" w:cs="Arial"/>
          <w:sz w:val="16"/>
          <w:szCs w:val="16"/>
        </w:rPr>
        <w:t>Ltd</w:t>
      </w:r>
      <w:proofErr w:type="spellEnd"/>
      <w:r w:rsidRPr="000343C8">
        <w:rPr>
          <w:rFonts w:ascii="Arial" w:hAnsi="Arial" w:cs="Arial"/>
          <w:sz w:val="16"/>
          <w:szCs w:val="16"/>
        </w:rPr>
        <w:t xml:space="preserve">» No.8 </w:t>
      </w:r>
      <w:proofErr w:type="spellStart"/>
      <w:r w:rsidRPr="000343C8">
        <w:rPr>
          <w:rFonts w:ascii="Arial" w:hAnsi="Arial" w:cs="Arial"/>
          <w:sz w:val="16"/>
          <w:szCs w:val="16"/>
        </w:rPr>
        <w:t>Canghai</w:t>
      </w:r>
      <w:proofErr w:type="spellEnd"/>
      <w:r w:rsidRPr="000343C8">
        <w:rPr>
          <w:rFonts w:ascii="Arial" w:hAnsi="Arial" w:cs="Arial"/>
          <w:sz w:val="16"/>
          <w:szCs w:val="16"/>
        </w:rPr>
        <w:t xml:space="preserve"> </w:t>
      </w:r>
      <w:proofErr w:type="spellStart"/>
      <w:r w:rsidRPr="000343C8">
        <w:rPr>
          <w:rFonts w:ascii="Arial" w:hAnsi="Arial" w:cs="Arial"/>
          <w:sz w:val="16"/>
          <w:szCs w:val="16"/>
        </w:rPr>
        <w:t>Road</w:t>
      </w:r>
      <w:proofErr w:type="spellEnd"/>
      <w:r w:rsidRPr="000343C8">
        <w:rPr>
          <w:rFonts w:ascii="Arial" w:hAnsi="Arial" w:cs="Arial"/>
          <w:sz w:val="16"/>
          <w:szCs w:val="16"/>
        </w:rPr>
        <w:t xml:space="preserve">, </w:t>
      </w:r>
      <w:proofErr w:type="spellStart"/>
      <w:r w:rsidRPr="000343C8">
        <w:rPr>
          <w:rFonts w:ascii="Arial" w:hAnsi="Arial" w:cs="Arial"/>
          <w:sz w:val="16"/>
          <w:szCs w:val="16"/>
        </w:rPr>
        <w:t>Lihai</w:t>
      </w:r>
      <w:proofErr w:type="spellEnd"/>
      <w:r w:rsidRPr="000343C8">
        <w:rPr>
          <w:rFonts w:ascii="Arial" w:hAnsi="Arial" w:cs="Arial"/>
          <w:sz w:val="16"/>
          <w:szCs w:val="16"/>
        </w:rPr>
        <w:t xml:space="preserve"> </w:t>
      </w:r>
      <w:proofErr w:type="spellStart"/>
      <w:r w:rsidRPr="000343C8">
        <w:rPr>
          <w:rFonts w:ascii="Arial" w:hAnsi="Arial" w:cs="Arial"/>
          <w:sz w:val="16"/>
          <w:szCs w:val="16"/>
        </w:rPr>
        <w:t>Town</w:t>
      </w:r>
      <w:proofErr w:type="spellEnd"/>
      <w:r w:rsidRPr="000343C8">
        <w:rPr>
          <w:rFonts w:ascii="Arial" w:hAnsi="Arial" w:cs="Arial"/>
          <w:sz w:val="16"/>
          <w:szCs w:val="16"/>
        </w:rPr>
        <w:t xml:space="preserve">, </w:t>
      </w:r>
      <w:proofErr w:type="spellStart"/>
      <w:r w:rsidRPr="000343C8">
        <w:rPr>
          <w:rFonts w:ascii="Arial" w:hAnsi="Arial" w:cs="Arial"/>
          <w:sz w:val="16"/>
          <w:szCs w:val="16"/>
        </w:rPr>
        <w:t>Binhai</w:t>
      </w:r>
      <w:proofErr w:type="spellEnd"/>
      <w:r w:rsidRPr="000343C8">
        <w:rPr>
          <w:rFonts w:ascii="Arial" w:hAnsi="Arial" w:cs="Arial"/>
          <w:sz w:val="16"/>
          <w:szCs w:val="16"/>
        </w:rPr>
        <w:t xml:space="preserve"> </w:t>
      </w:r>
      <w:proofErr w:type="spellStart"/>
      <w:r w:rsidRPr="000343C8">
        <w:rPr>
          <w:rFonts w:ascii="Arial" w:hAnsi="Arial" w:cs="Arial"/>
          <w:sz w:val="16"/>
          <w:szCs w:val="16"/>
        </w:rPr>
        <w:t>New</w:t>
      </w:r>
      <w:proofErr w:type="spellEnd"/>
      <w:r w:rsidRPr="000343C8">
        <w:rPr>
          <w:rFonts w:ascii="Arial" w:hAnsi="Arial" w:cs="Arial"/>
          <w:sz w:val="16"/>
          <w:szCs w:val="16"/>
        </w:rPr>
        <w:t xml:space="preserve"> </w:t>
      </w:r>
      <w:proofErr w:type="spellStart"/>
      <w:r w:rsidRPr="000343C8">
        <w:rPr>
          <w:rFonts w:ascii="Arial" w:hAnsi="Arial" w:cs="Arial"/>
          <w:sz w:val="16"/>
          <w:szCs w:val="16"/>
        </w:rPr>
        <w:t>City</w:t>
      </w:r>
      <w:proofErr w:type="spellEnd"/>
      <w:r w:rsidRPr="000343C8">
        <w:rPr>
          <w:rFonts w:ascii="Arial" w:hAnsi="Arial" w:cs="Arial"/>
          <w:sz w:val="16"/>
          <w:szCs w:val="16"/>
        </w:rPr>
        <w:t xml:space="preserve">, </w:t>
      </w:r>
      <w:proofErr w:type="spellStart"/>
      <w:r w:rsidRPr="000343C8">
        <w:rPr>
          <w:rFonts w:ascii="Arial" w:hAnsi="Arial" w:cs="Arial"/>
          <w:sz w:val="16"/>
          <w:szCs w:val="16"/>
        </w:rPr>
        <w:t>Shaoxing</w:t>
      </w:r>
      <w:proofErr w:type="spellEnd"/>
      <w:r w:rsidRPr="000343C8">
        <w:rPr>
          <w:rFonts w:ascii="Arial" w:hAnsi="Arial" w:cs="Arial"/>
          <w:sz w:val="16"/>
          <w:szCs w:val="16"/>
        </w:rPr>
        <w:t xml:space="preserve">,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w:t>
      </w:r>
      <w:proofErr w:type="spellStart"/>
      <w:r w:rsidRPr="000343C8">
        <w:rPr>
          <w:rFonts w:ascii="Arial" w:hAnsi="Arial" w:cs="Arial"/>
          <w:sz w:val="16"/>
          <w:szCs w:val="16"/>
        </w:rPr>
        <w:t>Province</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w:t>
      </w:r>
      <w:proofErr w:type="spellStart"/>
      <w:r w:rsidRPr="000343C8">
        <w:rPr>
          <w:rFonts w:ascii="Arial" w:hAnsi="Arial" w:cs="Arial"/>
          <w:sz w:val="16"/>
          <w:szCs w:val="16"/>
        </w:rPr>
        <w:t>Чжецзян</w:t>
      </w:r>
      <w:proofErr w:type="spellEnd"/>
      <w:r w:rsidRPr="000343C8">
        <w:rPr>
          <w:rFonts w:ascii="Arial" w:hAnsi="Arial" w:cs="Arial"/>
          <w:sz w:val="16"/>
          <w:szCs w:val="16"/>
        </w:rPr>
        <w:t xml:space="preserve"> МЕКА Электрик Ко., Лтд» №8 </w:t>
      </w:r>
      <w:proofErr w:type="spellStart"/>
      <w:r w:rsidRPr="000343C8">
        <w:rPr>
          <w:rFonts w:ascii="Arial" w:hAnsi="Arial" w:cs="Arial"/>
          <w:sz w:val="16"/>
          <w:szCs w:val="16"/>
        </w:rPr>
        <w:t>Цанхай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Роад</w:t>
      </w:r>
      <w:proofErr w:type="spellEnd"/>
      <w:r w:rsidRPr="000343C8">
        <w:rPr>
          <w:rFonts w:ascii="Arial" w:hAnsi="Arial" w:cs="Arial"/>
          <w:sz w:val="16"/>
          <w:szCs w:val="16"/>
        </w:rPr>
        <w:t xml:space="preserve">, </w:t>
      </w:r>
      <w:proofErr w:type="spellStart"/>
      <w:r w:rsidRPr="000343C8">
        <w:rPr>
          <w:rFonts w:ascii="Arial" w:hAnsi="Arial" w:cs="Arial"/>
          <w:sz w:val="16"/>
          <w:szCs w:val="16"/>
        </w:rPr>
        <w:t>Лихай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Бинхай</w:t>
      </w:r>
      <w:proofErr w:type="spellEnd"/>
      <w:r w:rsidRPr="000343C8">
        <w:rPr>
          <w:rFonts w:ascii="Arial" w:hAnsi="Arial" w:cs="Arial"/>
          <w:sz w:val="16"/>
          <w:szCs w:val="16"/>
        </w:rPr>
        <w:t xml:space="preserve"> Нью Сити, </w:t>
      </w:r>
      <w:proofErr w:type="spellStart"/>
      <w:r w:rsidRPr="000343C8">
        <w:rPr>
          <w:rFonts w:ascii="Arial" w:hAnsi="Arial" w:cs="Arial"/>
          <w:sz w:val="16"/>
          <w:szCs w:val="16"/>
        </w:rPr>
        <w:t>Шаосин</w:t>
      </w:r>
      <w:proofErr w:type="spellEnd"/>
      <w:r w:rsidRPr="000343C8">
        <w:rPr>
          <w:rFonts w:ascii="Arial" w:hAnsi="Arial" w:cs="Arial"/>
          <w:sz w:val="16"/>
          <w:szCs w:val="16"/>
        </w:rPr>
        <w:t xml:space="preserve">, провинция </w:t>
      </w:r>
      <w:proofErr w:type="spellStart"/>
      <w:r w:rsidRPr="000343C8">
        <w:rPr>
          <w:rFonts w:ascii="Arial" w:hAnsi="Arial" w:cs="Arial"/>
          <w:sz w:val="16"/>
          <w:szCs w:val="16"/>
        </w:rPr>
        <w:t>Чжецзян</w:t>
      </w:r>
      <w:proofErr w:type="spellEnd"/>
      <w:r w:rsidRPr="000343C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C549F"/>
    <w:rsid w:val="001E6E8E"/>
    <w:rsid w:val="002104DE"/>
    <w:rsid w:val="00253078"/>
    <w:rsid w:val="00267FD5"/>
    <w:rsid w:val="002D0688"/>
    <w:rsid w:val="002E0244"/>
    <w:rsid w:val="0030061C"/>
    <w:rsid w:val="00317F6A"/>
    <w:rsid w:val="00366EB5"/>
    <w:rsid w:val="00370D19"/>
    <w:rsid w:val="00374CA1"/>
    <w:rsid w:val="0039170B"/>
    <w:rsid w:val="003F0388"/>
    <w:rsid w:val="003F05C9"/>
    <w:rsid w:val="00403395"/>
    <w:rsid w:val="004168B4"/>
    <w:rsid w:val="00417BF5"/>
    <w:rsid w:val="00430420"/>
    <w:rsid w:val="0045705C"/>
    <w:rsid w:val="00467D0C"/>
    <w:rsid w:val="00484E50"/>
    <w:rsid w:val="004905D9"/>
    <w:rsid w:val="004A03FF"/>
    <w:rsid w:val="004A385E"/>
    <w:rsid w:val="004D1E55"/>
    <w:rsid w:val="004D355D"/>
    <w:rsid w:val="004D554B"/>
    <w:rsid w:val="004F7CDC"/>
    <w:rsid w:val="0051056A"/>
    <w:rsid w:val="00521479"/>
    <w:rsid w:val="005461A4"/>
    <w:rsid w:val="00554E52"/>
    <w:rsid w:val="00561CAD"/>
    <w:rsid w:val="005765D1"/>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0901"/>
    <w:rsid w:val="00785986"/>
    <w:rsid w:val="007923EB"/>
    <w:rsid w:val="007B5901"/>
    <w:rsid w:val="007C3333"/>
    <w:rsid w:val="007C629A"/>
    <w:rsid w:val="007C69F7"/>
    <w:rsid w:val="007E72C5"/>
    <w:rsid w:val="0083337B"/>
    <w:rsid w:val="008474EB"/>
    <w:rsid w:val="00880B91"/>
    <w:rsid w:val="008F1F28"/>
    <w:rsid w:val="008F42D2"/>
    <w:rsid w:val="009037A3"/>
    <w:rsid w:val="00933DA9"/>
    <w:rsid w:val="0094140D"/>
    <w:rsid w:val="009779B9"/>
    <w:rsid w:val="009E77C6"/>
    <w:rsid w:val="009F6272"/>
    <w:rsid w:val="00A14BB0"/>
    <w:rsid w:val="00A167D2"/>
    <w:rsid w:val="00A231D4"/>
    <w:rsid w:val="00A43E12"/>
    <w:rsid w:val="00A46F71"/>
    <w:rsid w:val="00A626AB"/>
    <w:rsid w:val="00A633E8"/>
    <w:rsid w:val="00A64106"/>
    <w:rsid w:val="00A801EE"/>
    <w:rsid w:val="00AA3B6D"/>
    <w:rsid w:val="00AD0851"/>
    <w:rsid w:val="00AE36B8"/>
    <w:rsid w:val="00AE591E"/>
    <w:rsid w:val="00B15032"/>
    <w:rsid w:val="00B2480E"/>
    <w:rsid w:val="00B31128"/>
    <w:rsid w:val="00B42CFF"/>
    <w:rsid w:val="00B544C8"/>
    <w:rsid w:val="00B726C9"/>
    <w:rsid w:val="00B922AB"/>
    <w:rsid w:val="00B972F5"/>
    <w:rsid w:val="00BA5BC3"/>
    <w:rsid w:val="00BB4683"/>
    <w:rsid w:val="00BF5140"/>
    <w:rsid w:val="00C375E9"/>
    <w:rsid w:val="00C61679"/>
    <w:rsid w:val="00C62937"/>
    <w:rsid w:val="00C631FD"/>
    <w:rsid w:val="00CB78B8"/>
    <w:rsid w:val="00CC225E"/>
    <w:rsid w:val="00CD6C99"/>
    <w:rsid w:val="00D3502D"/>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2EB0"/>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1036</Words>
  <Characters>5909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2023-12-27T13:29:00Z</dcterms:created>
  <dcterms:modified xsi:type="dcterms:W3CDTF">2024-05-21T13:59:00Z</dcterms:modified>
</cp:coreProperties>
</file>